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23" w:rsidRPr="00DF596A" w:rsidRDefault="00D65013" w:rsidP="00913302">
      <w:pPr>
        <w:spacing w:line="320" w:lineRule="exact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F596A">
        <w:rPr>
          <w:rFonts w:ascii="Times New Roman" w:hAnsi="Times New Roman" w:cs="Times New Roman"/>
          <w:b/>
          <w:sz w:val="24"/>
          <w:szCs w:val="24"/>
          <w:lang w:val="sv-SE"/>
        </w:rPr>
        <w:t>PUTNAM</w:t>
      </w:r>
      <w:r w:rsidR="00DF596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/</w:t>
      </w:r>
      <w:r w:rsidR="00DF596A" w:rsidRPr="00DF596A">
        <w:rPr>
          <w:rFonts w:ascii="Times New Roman" w:hAnsi="Times New Roman" w:cs="Times New Roman"/>
          <w:sz w:val="24"/>
          <w:szCs w:val="24"/>
          <w:lang w:val="sv-SE"/>
        </w:rPr>
        <w:t>Ingar Brinck</w:t>
      </w:r>
      <w:r w:rsidR="00F431E6">
        <w:rPr>
          <w:rFonts w:ascii="Times New Roman" w:hAnsi="Times New Roman" w:cs="Times New Roman"/>
          <w:sz w:val="24"/>
          <w:szCs w:val="24"/>
          <w:lang w:val="sv-SE"/>
        </w:rPr>
        <w:t xml:space="preserve"> vt17</w:t>
      </w:r>
    </w:p>
    <w:p w:rsidR="009931D1" w:rsidRDefault="009931D1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D65013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n.b. diskussionen gäller mening hos ord (inte satser)</w:t>
      </w:r>
      <w:r w:rsidR="00F431E6">
        <w:rPr>
          <w:rFonts w:ascii="Times New Roman" w:hAnsi="Times New Roman" w:cs="Times New Roman"/>
          <w:sz w:val="24"/>
          <w:szCs w:val="24"/>
          <w:lang w:val="sv-SE"/>
        </w:rPr>
        <w:t>, mera bestämt termer för naturliga sorter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1.</w:t>
      </w:r>
    </w:p>
    <w:p w:rsidR="00D65013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semantik: meningsteori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semantiken utgår ifrån ett pre-teoretiskt meningsbegrepp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det pre-teoretiska begreppet om mening är oklart och mångtydigt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2.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meningsteorin skiljer mellan två sorters mening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extension: mängden ting som ett ord är sant om, ex.</w:t>
      </w:r>
      <w:r w:rsidR="00F431E6">
        <w:rPr>
          <w:rFonts w:ascii="Times New Roman" w:hAnsi="Times New Roman" w:cs="Times New Roman"/>
          <w:sz w:val="24"/>
          <w:szCs w:val="24"/>
          <w:lang w:val="sv-SE"/>
        </w:rPr>
        <w:t xml:space="preserve"> mängden </w:t>
      </w:r>
      <w:r w:rsidRPr="00913302">
        <w:rPr>
          <w:rFonts w:ascii="Times New Roman" w:hAnsi="Times New Roman" w:cs="Times New Roman"/>
          <w:sz w:val="24"/>
          <w:szCs w:val="24"/>
          <w:lang w:val="sv-SE"/>
        </w:rPr>
        <w:t>kanin</w:t>
      </w:r>
      <w:r w:rsidR="00F431E6">
        <w:rPr>
          <w:rFonts w:ascii="Times New Roman" w:hAnsi="Times New Roman" w:cs="Times New Roman"/>
          <w:sz w:val="24"/>
          <w:szCs w:val="24"/>
          <w:lang w:val="sv-SE"/>
        </w:rPr>
        <w:t>er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--oklara gränser, exemplar som utgör oklara fall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--ord med samma extension men olika betydelse, ex. djur med lever/djur med njure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intention: funktion från ord till (abstrakt) begrepp</w:t>
      </w:r>
    </w:p>
    <w:p w:rsidR="00AA2DE0" w:rsidRPr="00913302" w:rsidRDefault="00AA2DE0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3.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Två vanliga antaganden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Ant 1: Att känna till ett ords mening innebär att vara i ett visst psykologiskt tillstånd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Ant2: Mening bestämmer referens (funktionen från mening till referens är entydig) 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Putnams hypotes: 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Ant1 och Ant2 kan inte bägge vara sanna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4.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Om två personer förstår meningen hos ett ord på olika sätt så är de i olika psykologiska tillstånd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Om de förstår meningen på samma sätt så är de i samma psykologiska tillstånd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Putnam hävdar nu att </w:t>
      </w:r>
    </w:p>
    <w:p w:rsidR="00340922" w:rsidRPr="00913302" w:rsidRDefault="00AA2DE0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T</w:t>
      </w:r>
      <w:r w:rsidR="00340922"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vå talare kan förstå ord A på samma sätt och alltså vara i samma psykologiska tillstånd medan A har en extension i den ena idiolekten och en annan extension i den andra idiolekten – personerna menar alltså samma men talar om olika saker. 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5.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Tvillingjordexemplet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Ordet ”vatten” har samma mening på Jorden och Tvillingjorden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På Jorden betyder ”vatten” H2O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På Tvillingjorden betyder ”vatten” XYZ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Jf med tillståndet år 1750, då den kemiska strukturen hos vatten ännu inte upptäckts på varken J eller TJ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6. Metallexemplet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Aluminium och molybdenum är två olika metaller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Enbart experter på metall kan upptäcka skillnaden</w:t>
      </w:r>
    </w:p>
    <w:p w:rsidR="00340922" w:rsidRPr="00913302" w:rsidRDefault="00340922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456966" w:rsidRPr="00913302" w:rsidRDefault="00456966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7. Bok och almexemplet</w:t>
      </w:r>
    </w:p>
    <w:p w:rsidR="00456966" w:rsidRPr="00913302" w:rsidRDefault="00456966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Putnam och hans kompis kan inte skilja på bokar och almar. </w:t>
      </w:r>
    </w:p>
    <w:p w:rsidR="00456966" w:rsidRPr="00913302" w:rsidRDefault="00456966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Har deras respektive användning av ”bok” och ”alm” samma extension?</w:t>
      </w:r>
    </w:p>
    <w:p w:rsidR="00456966" w:rsidRPr="00913302" w:rsidRDefault="00456966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456966" w:rsidRPr="00913302" w:rsidRDefault="00456966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Putnam menar det är rimligt att säga att ordens extension i Putnamns och kompisens idiolekter skiljer sig åt i enlighet med hur orden används inom sociolekten.</w:t>
      </w:r>
    </w:p>
    <w:p w:rsidR="00AA2DE0" w:rsidRPr="00913302" w:rsidRDefault="00AA2DE0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897FA1" w:rsidRPr="00913302" w:rsidRDefault="00897FA1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8. </w:t>
      </w:r>
    </w:p>
    <w:p w:rsidR="00BF5E25" w:rsidRPr="00913302" w:rsidRDefault="00897FA1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Hypotesen om lingvistisk arbetsfördelning</w:t>
      </w:r>
    </w:p>
    <w:p w:rsidR="00897FA1" w:rsidRPr="00913302" w:rsidRDefault="00897FA1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För vissa termer för naturliga sorter är kriterierna för att känna igen sorten till sin helhet kända enbart av experter. </w:t>
      </w:r>
    </w:p>
    <w:p w:rsidR="00BF5E25" w:rsidRPr="00913302" w:rsidRDefault="00897FA1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Språkgemenskapen förlitar sig på att experterna har tillräckliga kunskaper för att känna igen sorten i fråga.</w:t>
      </w:r>
    </w:p>
    <w:p w:rsidR="00BF5E25" w:rsidRPr="00913302" w:rsidRDefault="00897FA1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De flesta talare kan inte avgöra om den sort de avser att tala om genom att yttra ord O faktiskt utgör extensionen hos O.</w:t>
      </w:r>
    </w:p>
    <w:p w:rsidR="00897FA1" w:rsidRPr="00913302" w:rsidRDefault="00897FA1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897FA1" w:rsidRPr="00913302" w:rsidRDefault="00897FA1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Putnam drar slutsatsen att det är det sociolingvistiska tillståndet hos gemenskapen som bestämmer extensionen i föregående fall.</w:t>
      </w:r>
    </w:p>
    <w:p w:rsidR="00A52897" w:rsidRPr="00913302" w:rsidRDefault="00A52897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BC71CF" w:rsidRPr="00DE4C64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E4C64">
        <w:rPr>
          <w:rFonts w:ascii="Times New Roman" w:hAnsi="Times New Roman" w:cs="Times New Roman"/>
          <w:sz w:val="24"/>
          <w:szCs w:val="24"/>
        </w:rPr>
        <w:t>9.</w:t>
      </w:r>
    </w:p>
    <w:p w:rsidR="00BF5E25" w:rsidRPr="00DE4C64" w:rsidRDefault="00BF5E25" w:rsidP="00913302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E4C64">
        <w:rPr>
          <w:rFonts w:ascii="Times New Roman" w:hAnsi="Times New Roman" w:cs="Times New Roman"/>
          <w:sz w:val="24"/>
          <w:szCs w:val="24"/>
        </w:rPr>
        <w:t>The logic of natural kind-terms</w:t>
      </w:r>
    </w:p>
    <w:p w:rsidR="00340922" w:rsidRPr="00DE4C64" w:rsidRDefault="00BF5E25" w:rsidP="00913302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E4C64">
        <w:rPr>
          <w:rFonts w:ascii="Times New Roman" w:hAnsi="Times New Roman" w:cs="Times New Roman"/>
          <w:sz w:val="24"/>
          <w:szCs w:val="24"/>
        </w:rPr>
        <w:t>i. Ostensive definition of kind K by means of a sample S of</w:t>
      </w:r>
      <w:r w:rsidR="00456966" w:rsidRPr="00DE4C64">
        <w:rPr>
          <w:rFonts w:ascii="Times New Roman" w:hAnsi="Times New Roman" w:cs="Times New Roman"/>
          <w:sz w:val="24"/>
          <w:szCs w:val="24"/>
        </w:rPr>
        <w:t xml:space="preserve"> </w:t>
      </w:r>
      <w:r w:rsidRPr="00DE4C64">
        <w:rPr>
          <w:rFonts w:ascii="Times New Roman" w:hAnsi="Times New Roman" w:cs="Times New Roman"/>
          <w:sz w:val="24"/>
          <w:szCs w:val="24"/>
        </w:rPr>
        <w:t>K</w:t>
      </w:r>
    </w:p>
    <w:p w:rsidR="00BF5E25" w:rsidRPr="00DE4C64" w:rsidRDefault="00BF5E25" w:rsidP="00913302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E4C64">
        <w:rPr>
          <w:rFonts w:ascii="Times New Roman" w:hAnsi="Times New Roman" w:cs="Times New Roman"/>
          <w:sz w:val="24"/>
          <w:szCs w:val="24"/>
        </w:rPr>
        <w:t>ii. S bears a sameness relation SR to other samples and examples of K in the vicinity</w:t>
      </w:r>
    </w:p>
    <w:p w:rsidR="00BF5E25" w:rsidRPr="00DE4C64" w:rsidRDefault="00BF5E25" w:rsidP="00913302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DE4C64">
        <w:rPr>
          <w:rFonts w:ascii="Times New Roman" w:hAnsi="Times New Roman" w:cs="Times New Roman"/>
          <w:sz w:val="24"/>
          <w:szCs w:val="24"/>
        </w:rPr>
        <w:t>iii. SR is theoretical and defeasible</w:t>
      </w:r>
    </w:p>
    <w:p w:rsidR="00BF5E25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iv. Stereotypen beskriver en sorts (observerbara) ytegenskaper </w:t>
      </w:r>
    </w:p>
    <w:p w:rsidR="00BC71CF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BC71CF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10. </w:t>
      </w:r>
    </w:p>
    <w:p w:rsidR="00340922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Jämförelsen med K</w:t>
      </w:r>
      <w:r w:rsidR="00561221" w:rsidRPr="00913302">
        <w:rPr>
          <w:rFonts w:ascii="Times New Roman" w:hAnsi="Times New Roman" w:cs="Times New Roman"/>
          <w:sz w:val="24"/>
          <w:szCs w:val="24"/>
          <w:lang w:val="sv-SE"/>
        </w:rPr>
        <w:t>r</w:t>
      </w:r>
      <w:r w:rsidRPr="00913302">
        <w:rPr>
          <w:rFonts w:ascii="Times New Roman" w:hAnsi="Times New Roman" w:cs="Times New Roman"/>
          <w:sz w:val="24"/>
          <w:szCs w:val="24"/>
          <w:lang w:val="sv-SE"/>
        </w:rPr>
        <w:t>ipkes semantik för egennamn</w:t>
      </w:r>
    </w:p>
    <w:p w:rsidR="00BC71CF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BC71CF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Putnam antar att</w:t>
      </w:r>
    </w:p>
    <w:p w:rsidR="00BC71CF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--Relationen SR håller mellan möjliga världar. </w:t>
      </w:r>
    </w:p>
    <w:p w:rsidR="00BC71CF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--Naturliga sort-termer har en indexikal kompenent: SR gäller ”här omkring”</w:t>
      </w:r>
    </w:p>
    <w:p w:rsidR="00BC71CF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BC71CF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SLUTFRÅGOR ATT DISKUTERA</w:t>
      </w:r>
    </w:p>
    <w:p w:rsidR="00BC71CF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(a) Ska vi behålla distinktionen mellan två sorters mening? Varför (inte)?</w:t>
      </w:r>
    </w:p>
    <w:p w:rsidR="00BC71CF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(b) Ska vi anta att det enbart finns en sorts mening? Varför (inte)?</w:t>
      </w:r>
    </w:p>
    <w:p w:rsidR="00BC71CF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 xml:space="preserve">Om du svarat ”Ja” på (b), så </w:t>
      </w:r>
    </w:p>
    <w:p w:rsidR="0085764C" w:rsidRPr="00913302" w:rsidRDefault="00BC71CF" w:rsidP="00913302">
      <w:pPr>
        <w:spacing w:line="320" w:lineRule="exact"/>
        <w:rPr>
          <w:rFonts w:ascii="Times New Roman" w:hAnsi="Times New Roman" w:cs="Times New Roman"/>
          <w:sz w:val="24"/>
          <w:szCs w:val="24"/>
          <w:lang w:val="sv-SE"/>
        </w:rPr>
      </w:pPr>
      <w:r w:rsidRPr="00913302">
        <w:rPr>
          <w:rFonts w:ascii="Times New Roman" w:hAnsi="Times New Roman" w:cs="Times New Roman"/>
          <w:sz w:val="24"/>
          <w:szCs w:val="24"/>
          <w:lang w:val="sv-SE"/>
        </w:rPr>
        <w:t>(c) Vilken sorts mening ska vi anta existerar? Varför?</w:t>
      </w:r>
      <w:r w:rsidR="009931D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bookmarkStart w:id="0" w:name="_GoBack"/>
      <w:bookmarkEnd w:id="0"/>
    </w:p>
    <w:sectPr w:rsidR="0085764C" w:rsidRPr="009133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12" w:rsidRDefault="00183812" w:rsidP="009E5098">
      <w:pPr>
        <w:spacing w:line="240" w:lineRule="auto"/>
      </w:pPr>
      <w:r>
        <w:separator/>
      </w:r>
    </w:p>
  </w:endnote>
  <w:endnote w:type="continuationSeparator" w:id="0">
    <w:p w:rsidR="00183812" w:rsidRDefault="00183812" w:rsidP="009E5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67075"/>
      <w:docPartObj>
        <w:docPartGallery w:val="Page Numbers (Bottom of Page)"/>
        <w:docPartUnique/>
      </w:docPartObj>
    </w:sdtPr>
    <w:sdtEndPr/>
    <w:sdtContent>
      <w:p w:rsidR="009E5098" w:rsidRDefault="009E509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64C" w:rsidRPr="0085764C">
          <w:rPr>
            <w:noProof/>
            <w:lang w:val="sv-SE"/>
          </w:rPr>
          <w:t>2</w:t>
        </w:r>
        <w:r>
          <w:fldChar w:fldCharType="end"/>
        </w:r>
      </w:p>
    </w:sdtContent>
  </w:sdt>
  <w:p w:rsidR="009E5098" w:rsidRDefault="009E50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12" w:rsidRDefault="00183812" w:rsidP="009E5098">
      <w:pPr>
        <w:spacing w:line="240" w:lineRule="auto"/>
      </w:pPr>
      <w:r>
        <w:separator/>
      </w:r>
    </w:p>
  </w:footnote>
  <w:footnote w:type="continuationSeparator" w:id="0">
    <w:p w:rsidR="00183812" w:rsidRDefault="00183812" w:rsidP="009E50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13"/>
    <w:rsid w:val="00183812"/>
    <w:rsid w:val="00340922"/>
    <w:rsid w:val="00347C62"/>
    <w:rsid w:val="00456966"/>
    <w:rsid w:val="00561221"/>
    <w:rsid w:val="0057662D"/>
    <w:rsid w:val="00670023"/>
    <w:rsid w:val="00712E34"/>
    <w:rsid w:val="007B1A68"/>
    <w:rsid w:val="0085764C"/>
    <w:rsid w:val="00892703"/>
    <w:rsid w:val="00897FA1"/>
    <w:rsid w:val="00913302"/>
    <w:rsid w:val="009931D1"/>
    <w:rsid w:val="009E5098"/>
    <w:rsid w:val="00A52897"/>
    <w:rsid w:val="00AA2DE0"/>
    <w:rsid w:val="00B10571"/>
    <w:rsid w:val="00BC71CF"/>
    <w:rsid w:val="00BF5E25"/>
    <w:rsid w:val="00D65013"/>
    <w:rsid w:val="00DE4C64"/>
    <w:rsid w:val="00DE5333"/>
    <w:rsid w:val="00DF596A"/>
    <w:rsid w:val="00E909C5"/>
    <w:rsid w:val="00F4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4319"/>
  <w15:chartTrackingRefBased/>
  <w15:docId w15:val="{236E8761-A942-44BD-90C1-4A600FBA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F5E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E509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5098"/>
  </w:style>
  <w:style w:type="paragraph" w:styleId="Sidfot">
    <w:name w:val="footer"/>
    <w:basedOn w:val="Normal"/>
    <w:link w:val="SidfotChar"/>
    <w:uiPriority w:val="99"/>
    <w:unhideWhenUsed/>
    <w:rsid w:val="009E509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</dc:creator>
  <cp:keywords/>
  <dc:description/>
  <cp:lastModifiedBy>Ingar Brinck</cp:lastModifiedBy>
  <cp:revision>4</cp:revision>
  <dcterms:created xsi:type="dcterms:W3CDTF">2017-10-26T13:16:00Z</dcterms:created>
  <dcterms:modified xsi:type="dcterms:W3CDTF">2017-10-31T11:28:00Z</dcterms:modified>
</cp:coreProperties>
</file>